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40A3FB" w14:textId="77777777" w:rsidR="00952C98" w:rsidRDefault="00952C98" w:rsidP="00952C98">
      <w:pPr>
        <w:spacing w:line="480" w:lineRule="auto"/>
        <w:ind w:firstLine="720"/>
        <w:jc w:val="center"/>
      </w:pPr>
    </w:p>
    <w:p w14:paraId="4126A236" w14:textId="77777777" w:rsidR="00952C98" w:rsidRDefault="00952C98" w:rsidP="00952C98">
      <w:pPr>
        <w:spacing w:line="480" w:lineRule="auto"/>
        <w:ind w:firstLine="720"/>
        <w:jc w:val="center"/>
      </w:pPr>
    </w:p>
    <w:p w14:paraId="1A4683F8" w14:textId="77777777" w:rsidR="00952C98" w:rsidRDefault="00952C98" w:rsidP="00952C98">
      <w:pPr>
        <w:spacing w:line="480" w:lineRule="auto"/>
        <w:ind w:firstLine="720"/>
        <w:jc w:val="center"/>
      </w:pPr>
    </w:p>
    <w:p w14:paraId="52441524" w14:textId="77777777" w:rsidR="00952C98" w:rsidRDefault="00952C98" w:rsidP="00952C98">
      <w:pPr>
        <w:spacing w:line="480" w:lineRule="auto"/>
        <w:ind w:firstLine="720"/>
        <w:jc w:val="center"/>
      </w:pPr>
    </w:p>
    <w:p w14:paraId="2DF1156A" w14:textId="77777777" w:rsidR="00952C98" w:rsidRDefault="00952C98" w:rsidP="00952C98">
      <w:pPr>
        <w:spacing w:line="480" w:lineRule="auto"/>
        <w:ind w:firstLine="720"/>
        <w:jc w:val="center"/>
      </w:pPr>
    </w:p>
    <w:p w14:paraId="4FCED260" w14:textId="18EBED08" w:rsidR="00952C98" w:rsidRDefault="00952C98" w:rsidP="00952C98">
      <w:pPr>
        <w:spacing w:line="480" w:lineRule="auto"/>
        <w:ind w:firstLine="720"/>
        <w:jc w:val="center"/>
      </w:pPr>
      <w:r>
        <w:t>Terrorist Event</w:t>
      </w:r>
    </w:p>
    <w:p w14:paraId="0B4EC94A" w14:textId="622ADB6E" w:rsidR="00952C98" w:rsidRDefault="00952C98" w:rsidP="00952C98">
      <w:pPr>
        <w:spacing w:line="480" w:lineRule="auto"/>
        <w:ind w:firstLine="720"/>
        <w:jc w:val="center"/>
      </w:pPr>
      <w:r>
        <w:t>Name</w:t>
      </w:r>
    </w:p>
    <w:p w14:paraId="2220233F" w14:textId="3D6831EB" w:rsidR="00952C98" w:rsidRDefault="00952C98" w:rsidP="00952C98">
      <w:pPr>
        <w:spacing w:line="480" w:lineRule="auto"/>
        <w:ind w:firstLine="720"/>
        <w:jc w:val="center"/>
      </w:pPr>
      <w:r>
        <w:t>Institutional Affiliation</w:t>
      </w:r>
    </w:p>
    <w:p w14:paraId="370AC60C" w14:textId="77777777" w:rsidR="00952C98" w:rsidRDefault="00952C98">
      <w:r>
        <w:br w:type="page"/>
      </w:r>
    </w:p>
    <w:p w14:paraId="5AE978A0" w14:textId="49C57448" w:rsidR="00952C98" w:rsidRDefault="00952C98" w:rsidP="00952C98">
      <w:pPr>
        <w:spacing w:line="480" w:lineRule="auto"/>
        <w:ind w:firstLine="720"/>
        <w:jc w:val="center"/>
      </w:pPr>
      <w:r>
        <w:lastRenderedPageBreak/>
        <w:t>Terrorist Event</w:t>
      </w:r>
    </w:p>
    <w:p w14:paraId="2958D16E" w14:textId="2BAABC45" w:rsidR="000F12FF" w:rsidRDefault="000F12FF" w:rsidP="000F12FF">
      <w:pPr>
        <w:spacing w:line="480" w:lineRule="auto"/>
        <w:ind w:firstLine="720"/>
      </w:pPr>
      <w:r>
        <w:t>The September 11 twin tower attack in New York is still fresh in the memories of Americans. On this fateful day, America faced one of the challenging disaster response incidences because of a terrorist activity that saw close to 3,000 people losing their lives</w:t>
      </w:r>
      <w:r w:rsidR="00952C98">
        <w:t xml:space="preserve"> (</w:t>
      </w:r>
      <w:r w:rsidR="00952C98" w:rsidRPr="00952C98">
        <w:t>Hirst</w:t>
      </w:r>
      <w:r w:rsidR="00952C98">
        <w:t xml:space="preserve"> et al., 2015)</w:t>
      </w:r>
      <w:r>
        <w:t>. Even though there was another attack on the same day targeting Pentagon, the activities surrounding the attack in New York overwhelmed disaster responders at both the local, state and federal levels. The major response activities involved firefighting, rescuing of the injured by the paramedics, movement of dead bodies, and coordination of activities to prevent further deaths.  The attack occurred at the period when the federal government had not revamped its disaster management efforts</w:t>
      </w:r>
      <w:r w:rsidR="00952C98">
        <w:t xml:space="preserve"> </w:t>
      </w:r>
      <w:r w:rsidR="00952C98">
        <w:t>(</w:t>
      </w:r>
      <w:r w:rsidR="00952C98" w:rsidRPr="00952C98">
        <w:t>Hirst</w:t>
      </w:r>
      <w:r w:rsidR="00952C98">
        <w:t xml:space="preserve"> et al., 2015)</w:t>
      </w:r>
      <w:r>
        <w:t xml:space="preserve">. The aftermath of this attack saw the establishment of the Department of Homeland Security. The DHS helped in the development of the National Incident Management System (NIMS), which would enable agencies at different levels of the government to effectively respond to disasters. </w:t>
      </w:r>
    </w:p>
    <w:p w14:paraId="4F674293" w14:textId="7AEF4079" w:rsidR="000F12FF" w:rsidRDefault="000F12FF" w:rsidP="000F12FF">
      <w:pPr>
        <w:spacing w:line="480" w:lineRule="auto"/>
        <w:ind w:firstLine="720"/>
      </w:pPr>
      <w:r>
        <w:t>There was overwhelming support during and after the disaster. The disaster created huge fires, and a priority of responding to the disaster was fighting out the fire. The New York City Fire Department deployed half of its unit to help fight the fire. Their efforts were supplemented by independent firefighters who were off duty. The New York City Police Department sent its officers to help in the coordination of rescue efforts. The FDNY, NYPD, and PAPD were also involved in the response as they helped to evacuate civilians who were trapped in the buildings</w:t>
      </w:r>
      <w:r w:rsidR="00952C98">
        <w:t xml:space="preserve"> </w:t>
      </w:r>
      <w:r w:rsidR="00952C98">
        <w:t>(</w:t>
      </w:r>
      <w:r w:rsidR="00952C98" w:rsidRPr="00952C98">
        <w:t>Hirst</w:t>
      </w:r>
      <w:r w:rsidR="00952C98">
        <w:t xml:space="preserve"> et al., 2015)</w:t>
      </w:r>
      <w:bookmarkStart w:id="0" w:name="_GoBack"/>
      <w:bookmarkEnd w:id="0"/>
      <w:r>
        <w:t>. The response further involved the paramedics who provided first aid and treatment to survivors before being transported to the hospital. The aftermath of the disaster saw different agencies and organizations, including medical practitioners traveling to New York to help in moving the bodies and other medical procedures.</w:t>
      </w:r>
    </w:p>
    <w:p w14:paraId="4771E488" w14:textId="722FCD02" w:rsidR="000F12FF" w:rsidRDefault="000F12FF" w:rsidP="000F12FF">
      <w:pPr>
        <w:spacing w:line="480" w:lineRule="auto"/>
        <w:ind w:firstLine="720"/>
      </w:pPr>
      <w:r>
        <w:lastRenderedPageBreak/>
        <w:t>The agencies that were majorly involved in this attack were the New York City Fire Department, New York City Police Department, FDNY, NYPD, and PAPD and the paramedics. The firefighting department was tasked with fighting out the fire and preventing the fire from spreading to adjacent buildings. The fire that had engulfed the two buildings was enormous and saw more than 300 firefighters losing their lives. The police department, together with FDNY, NYPD, and PAPD provided emergency services in the rescue operations. These agencies facilitated rescue efforts by evacuating civilians from buildings that were at risk of catching fire and those trapped on burning buildings</w:t>
      </w:r>
      <w:r w:rsidR="00952C98">
        <w:t xml:space="preserve"> (</w:t>
      </w:r>
      <w:r w:rsidR="00952C98" w:rsidRPr="00952C98">
        <w:t>Bullock, Haddow &amp; Coppola, 2013)</w:t>
      </w:r>
      <w:r>
        <w:t>. The paramedics and other medical staff helped in the provision of first aid and stabilizing the health condition of the patients before being moved to the hospital. These agencies were required to coordinate their services but faced enormous challenges.</w:t>
      </w:r>
    </w:p>
    <w:p w14:paraId="1EA3E8F6" w14:textId="14F6A51F" w:rsidR="00952C98" w:rsidRDefault="000F12FF" w:rsidP="000F12FF">
      <w:pPr>
        <w:spacing w:line="480" w:lineRule="auto"/>
        <w:ind w:firstLine="720"/>
      </w:pPr>
      <w:r>
        <w:t>The response operations during this disaster helped to reduce the number of casualties from the attack. Besides, it helped to expose loopholes that exist in America’s disaster management efforts. What worked during the rescue operation were the efforts of the paramedic team of providing treatment to those affected. The implementation of ICS in this disaster was poor since there was no knowledge of how to use such a system in the system</w:t>
      </w:r>
      <w:r w:rsidR="00952C98">
        <w:t xml:space="preserve"> (</w:t>
      </w:r>
      <w:r w:rsidR="00952C98" w:rsidRPr="00952C98">
        <w:t>Homeland Security</w:t>
      </w:r>
      <w:r w:rsidR="00952C98">
        <w:t xml:space="preserve">, </w:t>
      </w:r>
      <w:r w:rsidR="00952C98" w:rsidRPr="00952C98">
        <w:t>2008)</w:t>
      </w:r>
      <w:r>
        <w:t xml:space="preserve">. There were poor coordination and communication between the agencies that were engaged in the rescue operations. These challenges occurred because of lack of implementation of ICS, which was not </w:t>
      </w:r>
      <w:r w:rsidR="00952C98">
        <w:t>i</w:t>
      </w:r>
      <w:r>
        <w:t>n place by the time this attack occurred in America. The ICS was initiated as part of the DHS efforts to enhance the effectiveness of disaster response in the country.</w:t>
      </w:r>
    </w:p>
    <w:p w14:paraId="21A34F4B" w14:textId="77777777" w:rsidR="00952C98" w:rsidRDefault="00952C98">
      <w:r>
        <w:br w:type="page"/>
      </w:r>
    </w:p>
    <w:p w14:paraId="020D15EF" w14:textId="7B1C75C8" w:rsidR="00F12F92" w:rsidRDefault="00952C98" w:rsidP="00952C98">
      <w:pPr>
        <w:spacing w:line="480" w:lineRule="auto"/>
        <w:ind w:firstLine="720"/>
        <w:jc w:val="center"/>
      </w:pPr>
      <w:r>
        <w:lastRenderedPageBreak/>
        <w:t>References</w:t>
      </w:r>
    </w:p>
    <w:p w14:paraId="6C3C6A9F" w14:textId="6AF19F17" w:rsidR="00952C98" w:rsidRPr="00952C98" w:rsidRDefault="00952C98" w:rsidP="00952C98">
      <w:pPr>
        <w:spacing w:line="480" w:lineRule="auto"/>
        <w:ind w:left="720" w:hanging="720"/>
      </w:pPr>
      <w:r w:rsidRPr="00952C98">
        <w:t>Bullock, J. A.</w:t>
      </w:r>
      <w:r>
        <w:t>,</w:t>
      </w:r>
      <w:r w:rsidRPr="00952C98">
        <w:t xml:space="preserve"> Haddow, G. D.  &amp; Coppola, D. P. (2013). </w:t>
      </w:r>
      <w:r w:rsidRPr="00952C98">
        <w:rPr>
          <w:i/>
        </w:rPr>
        <w:t>Introduction to homeland security (5th ed.)</w:t>
      </w:r>
      <w:r w:rsidRPr="00952C98">
        <w:t xml:space="preserve">. Waltham, MA: Elsevier Inc.  </w:t>
      </w:r>
    </w:p>
    <w:p w14:paraId="6D9E7B53" w14:textId="77777777" w:rsidR="00952C98" w:rsidRDefault="00952C98" w:rsidP="00952C98">
      <w:pPr>
        <w:spacing w:line="480" w:lineRule="auto"/>
        <w:ind w:left="720" w:hanging="720"/>
      </w:pPr>
      <w:r w:rsidRPr="00952C98">
        <w:t xml:space="preserve">Hirst, W., Phelps, E. A., </w:t>
      </w:r>
      <w:proofErr w:type="spellStart"/>
      <w:r w:rsidRPr="00952C98">
        <w:t>Meksin</w:t>
      </w:r>
      <w:proofErr w:type="spellEnd"/>
      <w:r w:rsidRPr="00952C98">
        <w:t>, R., Vaidya, C. J., Johnson, M. K., Mitchell, K. J., ... &amp; Mather, M. (2015). A ten-year follow-up of a study of memory for the attack of September 11, 2001: Flashbulb memories and memories for flashbulb events. </w:t>
      </w:r>
      <w:r w:rsidRPr="00952C98">
        <w:rPr>
          <w:i/>
          <w:iCs/>
        </w:rPr>
        <w:t>Journal of Experimental Psychology: General</w:t>
      </w:r>
      <w:r w:rsidRPr="00952C98">
        <w:t>, </w:t>
      </w:r>
      <w:r w:rsidRPr="00952C98">
        <w:rPr>
          <w:i/>
          <w:iCs/>
        </w:rPr>
        <w:t>144</w:t>
      </w:r>
      <w:r w:rsidRPr="00952C98">
        <w:t>(3), 604.</w:t>
      </w:r>
    </w:p>
    <w:p w14:paraId="5150D541" w14:textId="5B3DD197" w:rsidR="00952C98" w:rsidRPr="00952C98" w:rsidRDefault="00952C98" w:rsidP="00952C98">
      <w:pPr>
        <w:spacing w:line="480" w:lineRule="auto"/>
        <w:ind w:left="720" w:hanging="720"/>
      </w:pPr>
      <w:r w:rsidRPr="00952C98">
        <w:t xml:space="preserve">Homeland Security. (2008). </w:t>
      </w:r>
      <w:r w:rsidRPr="00952C98">
        <w:rPr>
          <w:i/>
        </w:rPr>
        <w:t>National incident management system</w:t>
      </w:r>
      <w:r w:rsidRPr="00952C98">
        <w:t xml:space="preserve">. Retrieved from </w:t>
      </w:r>
      <w:hyperlink r:id="rId7" w:tgtFrame="_blank" w:history="1">
        <w:r w:rsidRPr="00952C98">
          <w:rPr>
            <w:rStyle w:val="Hyperlink"/>
          </w:rPr>
          <w:t>http://www.fema.gov/pdf/emergency/nims/NIMS_core.pdf</w:t>
        </w:r>
      </w:hyperlink>
    </w:p>
    <w:p w14:paraId="5A6C5590" w14:textId="77777777" w:rsidR="00952C98" w:rsidRPr="000F12FF" w:rsidRDefault="00952C98" w:rsidP="00952C98">
      <w:pPr>
        <w:spacing w:line="480" w:lineRule="auto"/>
      </w:pPr>
    </w:p>
    <w:sectPr w:rsidR="00952C98" w:rsidRPr="000F12FF" w:rsidSect="00952C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E46DE" w14:textId="77777777" w:rsidR="008B0C1C" w:rsidRDefault="008B0C1C" w:rsidP="00952C98">
      <w:pPr>
        <w:spacing w:after="0" w:line="240" w:lineRule="auto"/>
      </w:pPr>
      <w:r>
        <w:separator/>
      </w:r>
    </w:p>
  </w:endnote>
  <w:endnote w:type="continuationSeparator" w:id="0">
    <w:p w14:paraId="4455881F" w14:textId="77777777" w:rsidR="008B0C1C" w:rsidRDefault="008B0C1C" w:rsidP="00952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23CB1" w14:textId="77777777" w:rsidR="008B0C1C" w:rsidRDefault="008B0C1C" w:rsidP="00952C98">
      <w:pPr>
        <w:spacing w:after="0" w:line="240" w:lineRule="auto"/>
      </w:pPr>
      <w:r>
        <w:separator/>
      </w:r>
    </w:p>
  </w:footnote>
  <w:footnote w:type="continuationSeparator" w:id="0">
    <w:p w14:paraId="1485FDE0" w14:textId="77777777" w:rsidR="008B0C1C" w:rsidRDefault="008B0C1C" w:rsidP="00952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728CF" w14:textId="51FE246F" w:rsidR="00952C98" w:rsidRDefault="00952C98">
    <w:pPr>
      <w:pStyle w:val="Header"/>
      <w:jc w:val="right"/>
    </w:pPr>
    <w:r>
      <w:t>TERRORIST EVENT</w:t>
    </w:r>
    <w:r>
      <w:t xml:space="preserve"> </w:t>
    </w:r>
    <w:r>
      <w:tab/>
    </w:r>
    <w:r>
      <w:tab/>
    </w:r>
    <w:sdt>
      <w:sdtPr>
        <w:id w:val="15388466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AF0D9C8" w14:textId="77777777" w:rsidR="00952C98" w:rsidRDefault="00952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CAC09" w14:textId="108E8FC3" w:rsidR="00952C98" w:rsidRDefault="00952C98">
    <w:pPr>
      <w:pStyle w:val="Header"/>
      <w:jc w:val="right"/>
    </w:pPr>
    <w:r>
      <w:t xml:space="preserve">Running head: </w:t>
    </w:r>
    <w:r>
      <w:t>TERRORIST EVENT</w:t>
    </w:r>
    <w:r>
      <w:t xml:space="preserve"> </w:t>
    </w:r>
    <w:r>
      <w:tab/>
    </w:r>
    <w:r>
      <w:tab/>
    </w:r>
    <w:sdt>
      <w:sdtPr>
        <w:id w:val="-216412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22AAD3D" w14:textId="77777777" w:rsidR="00952C98" w:rsidRDefault="00952C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0C"/>
    <w:rsid w:val="000F12FF"/>
    <w:rsid w:val="001D03F7"/>
    <w:rsid w:val="0087250C"/>
    <w:rsid w:val="008B0C1C"/>
    <w:rsid w:val="00952C98"/>
    <w:rsid w:val="00CD0A11"/>
    <w:rsid w:val="00F12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800FA"/>
  <w15:chartTrackingRefBased/>
  <w15:docId w15:val="{A36A7AD2-57C6-4FAC-B8EA-818298176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C98"/>
  </w:style>
  <w:style w:type="paragraph" w:styleId="Footer">
    <w:name w:val="footer"/>
    <w:basedOn w:val="Normal"/>
    <w:link w:val="FooterChar"/>
    <w:uiPriority w:val="99"/>
    <w:unhideWhenUsed/>
    <w:rsid w:val="00952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C98"/>
  </w:style>
  <w:style w:type="character" w:styleId="Hyperlink">
    <w:name w:val="Hyperlink"/>
    <w:basedOn w:val="DefaultParagraphFont"/>
    <w:uiPriority w:val="99"/>
    <w:unhideWhenUsed/>
    <w:rsid w:val="00952C98"/>
    <w:rPr>
      <w:color w:val="0563C1" w:themeColor="hyperlink"/>
      <w:u w:val="single"/>
    </w:rPr>
  </w:style>
  <w:style w:type="character" w:styleId="UnresolvedMention">
    <w:name w:val="Unresolved Mention"/>
    <w:basedOn w:val="DefaultParagraphFont"/>
    <w:uiPriority w:val="99"/>
    <w:semiHidden/>
    <w:unhideWhenUsed/>
    <w:rsid w:val="00952C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724903">
      <w:bodyDiv w:val="1"/>
      <w:marLeft w:val="0"/>
      <w:marRight w:val="0"/>
      <w:marTop w:val="0"/>
      <w:marBottom w:val="0"/>
      <w:divBdr>
        <w:top w:val="none" w:sz="0" w:space="0" w:color="auto"/>
        <w:left w:val="none" w:sz="0" w:space="0" w:color="auto"/>
        <w:bottom w:val="none" w:sz="0" w:space="0" w:color="auto"/>
        <w:right w:val="none" w:sz="0" w:space="0" w:color="auto"/>
      </w:divBdr>
    </w:div>
    <w:div w:id="212391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ema.gov/pdf/emergency/nims/NIMS_core.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4BFBB-4732-436E-AA95-4606D22FE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2019-06-24T10:46:00Z</dcterms:created>
  <dcterms:modified xsi:type="dcterms:W3CDTF">2019-06-24T11:47:00Z</dcterms:modified>
</cp:coreProperties>
</file>